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270"/>
        <w:gridCol w:w="5778"/>
      </w:tblGrid>
      <w:tr w:rsidR="009874C3" w:rsidTr="009874C3">
        <w:trPr>
          <w:trHeight w:val="990"/>
        </w:trPr>
        <w:tc>
          <w:tcPr>
            <w:tcW w:w="9378" w:type="dxa"/>
            <w:gridSpan w:val="3"/>
          </w:tcPr>
          <w:p w:rsidR="009874C3" w:rsidRDefault="009874C3" w:rsidP="009874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SUPERIOR COURT OF THE STATE OF WASHINGTON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FOR THE COUNTY OF </w:t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874C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bookmarkEnd w:id="1"/>
            <w:r w:rsidRPr="009874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874C3" w:rsidTr="009874C3">
        <w:trPr>
          <w:trHeight w:val="1620"/>
        </w:trPr>
        <w:tc>
          <w:tcPr>
            <w:tcW w:w="3330" w:type="dxa"/>
          </w:tcPr>
          <w:p w:rsidR="009874C3" w:rsidRDefault="009874C3" w:rsidP="009874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MATTER OF THE</w:t>
            </w:r>
          </w:p>
          <w:p w:rsidR="009874C3" w:rsidRDefault="009874C3" w:rsidP="009874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ADOPTION PETITION OF</w:t>
            </w:r>
          </w:p>
          <w:p w:rsidR="009874C3" w:rsidRDefault="009874C3" w:rsidP="009874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874C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874C3" w:rsidRDefault="009874C3" w:rsidP="009874C3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DOB:  </w:t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:rsidR="009874C3" w:rsidRDefault="009874C3" w:rsidP="009874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74C3" w:rsidRDefault="009874C3" w:rsidP="009874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74C3" w:rsidRDefault="009874C3" w:rsidP="009874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74C3" w:rsidRDefault="009874C3" w:rsidP="009874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78" w:type="dxa"/>
            <w:vAlign w:val="center"/>
          </w:tcPr>
          <w:p w:rsidR="009874C3" w:rsidRDefault="009874C3" w:rsidP="009874C3">
            <w:pPr>
              <w:spacing w:line="276" w:lineRule="auto"/>
              <w:ind w:left="6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 </w:t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874C3" w:rsidRDefault="009874C3" w:rsidP="009874C3">
            <w:pPr>
              <w:spacing w:line="276" w:lineRule="auto"/>
              <w:ind w:left="695"/>
              <w:rPr>
                <w:rFonts w:ascii="Arial" w:hAnsi="Arial" w:cs="Arial"/>
                <w:sz w:val="20"/>
                <w:szCs w:val="20"/>
              </w:rPr>
            </w:pPr>
          </w:p>
          <w:p w:rsidR="009874C3" w:rsidRPr="009874C3" w:rsidRDefault="009874C3" w:rsidP="009874C3">
            <w:pPr>
              <w:spacing w:line="276" w:lineRule="auto"/>
              <w:ind w:left="695"/>
              <w:rPr>
                <w:rFonts w:ascii="Arial" w:hAnsi="Arial" w:cs="Arial"/>
                <w:b/>
                <w:sz w:val="28"/>
                <w:szCs w:val="28"/>
              </w:rPr>
            </w:pPr>
            <w:r w:rsidRPr="009874C3">
              <w:rPr>
                <w:rFonts w:ascii="Arial" w:hAnsi="Arial" w:cs="Arial"/>
                <w:b/>
                <w:sz w:val="28"/>
                <w:szCs w:val="28"/>
              </w:rPr>
              <w:t xml:space="preserve">Waiver of Notice of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9874C3">
              <w:rPr>
                <w:rFonts w:ascii="Arial" w:hAnsi="Arial" w:cs="Arial"/>
                <w:b/>
                <w:sz w:val="28"/>
                <w:szCs w:val="28"/>
              </w:rPr>
              <w:t>Further Hearing</w:t>
            </w:r>
          </w:p>
        </w:tc>
      </w:tr>
      <w:tr w:rsidR="009874C3" w:rsidTr="002C712A">
        <w:tc>
          <w:tcPr>
            <w:tcW w:w="9378" w:type="dxa"/>
            <w:gridSpan w:val="3"/>
          </w:tcPr>
          <w:p w:rsidR="00311690" w:rsidRDefault="00311690" w:rsidP="009874C3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874C3" w:rsidRDefault="009874C3" w:rsidP="009874C3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TO:</w:t>
            </w:r>
            <w:r>
              <w:rPr>
                <w:rFonts w:ascii="Arial" w:hAnsi="Arial" w:cs="Arial"/>
                <w:sz w:val="20"/>
                <w:szCs w:val="20"/>
              </w:rPr>
              <w:tab/>
              <w:t>The clerk of the Court and</w:t>
            </w:r>
          </w:p>
          <w:p w:rsidR="009874C3" w:rsidRDefault="009874C3" w:rsidP="009874C3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TO:</w:t>
            </w:r>
            <w:r>
              <w:rPr>
                <w:rFonts w:ascii="Arial" w:hAnsi="Arial" w:cs="Arial"/>
                <w:sz w:val="20"/>
                <w:szCs w:val="20"/>
              </w:rPr>
              <w:tab/>
              <w:t>Attorney for the Petitioner</w:t>
            </w:r>
          </w:p>
          <w:p w:rsidR="009874C3" w:rsidRDefault="009874C3" w:rsidP="009874C3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take notice that the undersigned, acting for the Departme</w:t>
            </w:r>
            <w:r w:rsidR="00676DAF">
              <w:rPr>
                <w:rFonts w:ascii="Arial" w:hAnsi="Arial" w:cs="Arial"/>
                <w:sz w:val="20"/>
                <w:szCs w:val="20"/>
              </w:rPr>
              <w:t>nt of Children, Youth, and Families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individual who prepares the within and forgoing report, hereby waives notice of further hearings and proceedings in the above named matter.</w:t>
            </w:r>
          </w:p>
          <w:p w:rsidR="009874C3" w:rsidRDefault="009874C3" w:rsidP="009874C3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874C3" w:rsidRDefault="009874C3" w:rsidP="009874C3">
            <w:pPr>
              <w:tabs>
                <w:tab w:val="left" w:pos="3575"/>
                <w:tab w:val="right" w:pos="914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, Area Administrator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  <w:t>Division of Children and Family Services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  <w:t>Department of Social and Health Services</w:t>
            </w:r>
          </w:p>
          <w:p w:rsidR="009874C3" w:rsidRDefault="009874C3" w:rsidP="009874C3">
            <w:pPr>
              <w:tabs>
                <w:tab w:val="left" w:pos="3575"/>
                <w:tab w:val="right" w:pos="914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874C3" w:rsidRDefault="009874C3" w:rsidP="009874C3">
            <w:pPr>
              <w:tabs>
                <w:tab w:val="left" w:pos="3575"/>
                <w:tab w:val="right" w:pos="914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874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76DAF">
              <w:rPr>
                <w:rFonts w:ascii="Arial" w:hAnsi="Arial" w:cs="Arial"/>
                <w:sz w:val="20"/>
                <w:szCs w:val="20"/>
              </w:rPr>
              <w:t>, Case</w:t>
            </w:r>
            <w:r>
              <w:rPr>
                <w:rFonts w:ascii="Arial" w:hAnsi="Arial" w:cs="Arial"/>
                <w:sz w:val="20"/>
                <w:szCs w:val="20"/>
              </w:rPr>
              <w:t xml:space="preserve"> Worker, Adoption Program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  <w:t>Departme</w:t>
            </w:r>
            <w:r w:rsidR="00676DAF">
              <w:rPr>
                <w:rFonts w:ascii="Arial" w:hAnsi="Arial" w:cs="Arial"/>
                <w:sz w:val="20"/>
                <w:szCs w:val="20"/>
              </w:rPr>
              <w:t>nt of Children, Youth, and Families</w:t>
            </w:r>
          </w:p>
          <w:p w:rsidR="009874C3" w:rsidRDefault="009874C3" w:rsidP="009874C3">
            <w:pPr>
              <w:tabs>
                <w:tab w:val="left" w:pos="3575"/>
                <w:tab w:val="right" w:pos="914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874C3" w:rsidRDefault="009874C3" w:rsidP="009874C3">
            <w:pPr>
              <w:tabs>
                <w:tab w:val="left" w:pos="3575"/>
                <w:tab w:val="right" w:pos="914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874C3" w:rsidRDefault="009874C3" w:rsidP="009874C3">
            <w:pPr>
              <w:tabs>
                <w:tab w:val="left" w:pos="3575"/>
                <w:tab w:val="right" w:pos="914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874C3" w:rsidRPr="009874C3" w:rsidRDefault="009874C3" w:rsidP="001F6CB1">
            <w:pPr>
              <w:tabs>
                <w:tab w:val="left" w:pos="3575"/>
                <w:tab w:val="right" w:pos="9148"/>
              </w:tabs>
              <w:spacing w:before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B3C40" w:rsidRPr="009874C3" w:rsidRDefault="00EB3C40">
      <w:pPr>
        <w:rPr>
          <w:rFonts w:ascii="Arial" w:hAnsi="Arial" w:cs="Arial"/>
          <w:sz w:val="20"/>
          <w:szCs w:val="20"/>
        </w:rPr>
      </w:pPr>
    </w:p>
    <w:sectPr w:rsidR="00EB3C40" w:rsidRPr="009874C3" w:rsidSect="00676DAF">
      <w:footerReference w:type="default" r:id="rId6"/>
      <w:pgSz w:w="12240" w:h="15840" w:code="1"/>
      <w:pgMar w:top="432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AF" w:rsidRDefault="00676DAF" w:rsidP="00676DAF">
      <w:pPr>
        <w:spacing w:after="0" w:line="240" w:lineRule="auto"/>
      </w:pPr>
      <w:r>
        <w:separator/>
      </w:r>
    </w:p>
  </w:endnote>
  <w:endnote w:type="continuationSeparator" w:id="0">
    <w:p w:rsidR="00676DAF" w:rsidRDefault="00676DAF" w:rsidP="0067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AF" w:rsidRPr="00676DAF" w:rsidRDefault="00676DAF">
    <w:pPr>
      <w:pStyle w:val="Footer"/>
      <w:rPr>
        <w:rFonts w:ascii="Arial" w:hAnsi="Arial" w:cs="Arial"/>
        <w:b/>
        <w:sz w:val="16"/>
        <w:szCs w:val="16"/>
      </w:rPr>
    </w:pPr>
    <w:r w:rsidRPr="009874C3">
      <w:rPr>
        <w:rFonts w:ascii="Arial" w:hAnsi="Arial" w:cs="Arial"/>
        <w:b/>
        <w:sz w:val="16"/>
        <w:szCs w:val="16"/>
      </w:rPr>
      <w:t>WAIVER OF NOTICE OF FURTHER HEARING</w:t>
    </w:r>
    <w:r w:rsidRPr="009874C3">
      <w:rPr>
        <w:rFonts w:ascii="Arial" w:hAnsi="Arial" w:cs="Arial"/>
        <w:b/>
        <w:sz w:val="16"/>
        <w:szCs w:val="16"/>
      </w:rPr>
      <w:br/>
    </w:r>
    <w:r>
      <w:rPr>
        <w:rFonts w:ascii="Arial" w:hAnsi="Arial" w:cs="Arial"/>
        <w:b/>
        <w:sz w:val="16"/>
        <w:szCs w:val="16"/>
      </w:rPr>
      <w:t>DCYF</w:t>
    </w:r>
    <w:r>
      <w:rPr>
        <w:rFonts w:ascii="Arial" w:hAnsi="Arial" w:cs="Arial"/>
        <w:b/>
        <w:sz w:val="16"/>
        <w:szCs w:val="16"/>
      </w:rPr>
      <w:t xml:space="preserve"> 09-054 (01/2019)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AF" w:rsidRDefault="00676DAF" w:rsidP="00676DAF">
      <w:pPr>
        <w:spacing w:after="0" w:line="240" w:lineRule="auto"/>
      </w:pPr>
      <w:r>
        <w:separator/>
      </w:r>
    </w:p>
  </w:footnote>
  <w:footnote w:type="continuationSeparator" w:id="0">
    <w:p w:rsidR="00676DAF" w:rsidRDefault="00676DAF" w:rsidP="00676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Urhkqk+i9f6RPZeeDgGxSKVKFRYcg/rB4HdXeYuikve5cTZTbM8uBNarWnmINTh2bulOVOkezDMrXPJJQy6tA==" w:salt="9uBsTBwb2pLy2qW7ytlG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44"/>
    <w:rsid w:val="001F6CB1"/>
    <w:rsid w:val="00311690"/>
    <w:rsid w:val="00676DAF"/>
    <w:rsid w:val="009874C3"/>
    <w:rsid w:val="00C77429"/>
    <w:rsid w:val="00D43C44"/>
    <w:rsid w:val="00E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97A8"/>
  <w15:chartTrackingRefBased/>
  <w15:docId w15:val="{21A85E80-3235-43F7-AA0B-D94BC161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DAF"/>
  </w:style>
  <w:style w:type="paragraph" w:styleId="Footer">
    <w:name w:val="footer"/>
    <w:basedOn w:val="Normal"/>
    <w:link w:val="FooterChar"/>
    <w:uiPriority w:val="99"/>
    <w:unhideWhenUsed/>
    <w:rsid w:val="00676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Brombacher, Millie A. (DSHS/ERMO)</dc:creator>
  <cp:keywords/>
  <dc:description/>
  <cp:lastModifiedBy>Jollie, Stephanie A (DCYF)</cp:lastModifiedBy>
  <cp:revision>2</cp:revision>
  <dcterms:created xsi:type="dcterms:W3CDTF">2019-01-06T19:55:00Z</dcterms:created>
  <dcterms:modified xsi:type="dcterms:W3CDTF">2019-01-06T19:55:00Z</dcterms:modified>
</cp:coreProperties>
</file>