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17" w:rsidRPr="00B84342" w:rsidRDefault="00E66854" w:rsidP="00B84342">
      <w:pPr>
        <w:pStyle w:val="Heading1"/>
        <w:keepLines/>
        <w:pageBreakBefore/>
        <w:spacing w:after="240"/>
        <w:ind w:left="0"/>
        <w:rPr>
          <w:rFonts w:eastAsiaTheme="majorEastAsia" w:cstheme="majorBidi"/>
          <w:b w:val="0"/>
          <w:bCs/>
          <w:sz w:val="36"/>
          <w:szCs w:val="28"/>
        </w:rPr>
      </w:pPr>
      <w:bookmarkStart w:id="0" w:name="_GoBack"/>
      <w:bookmarkEnd w:id="0"/>
      <w:r w:rsidRPr="00B84342">
        <w:rPr>
          <w:rFonts w:eastAsiaTheme="majorEastAsia" w:cstheme="majorBidi"/>
          <w:b w:val="0"/>
          <w:bCs/>
          <w:sz w:val="36"/>
          <w:szCs w:val="28"/>
        </w:rPr>
        <w:t>General Principles for</w:t>
      </w:r>
      <w:r w:rsidR="00C61847" w:rsidRPr="00B84342">
        <w:rPr>
          <w:rFonts w:eastAsiaTheme="majorEastAsia" w:cstheme="majorBidi"/>
          <w:b w:val="0"/>
          <w:bCs/>
          <w:sz w:val="36"/>
          <w:szCs w:val="28"/>
        </w:rPr>
        <w:t xml:space="preserve"> DEL HVSA</w:t>
      </w:r>
      <w:r w:rsidRPr="00B84342">
        <w:rPr>
          <w:rFonts w:eastAsiaTheme="majorEastAsia" w:cstheme="majorBidi"/>
          <w:b w:val="0"/>
          <w:bCs/>
          <w:sz w:val="36"/>
          <w:szCs w:val="28"/>
        </w:rPr>
        <w:t xml:space="preserve"> Contracts Monitoring</w:t>
      </w:r>
    </w:p>
    <w:p w:rsidR="00761350" w:rsidRDefault="00C61847" w:rsidP="00F35111">
      <w:pPr>
        <w:pStyle w:val="bullet1"/>
        <w:numPr>
          <w:ilvl w:val="0"/>
          <w:numId w:val="0"/>
        </w:numPr>
      </w:pPr>
      <w:r w:rsidRPr="00761350">
        <w:t>The list below (and presented in Attachment 3 of your contract</w:t>
      </w:r>
      <w:r w:rsidR="00761350" w:rsidRPr="00761350">
        <w:t>)</w:t>
      </w:r>
      <w:r w:rsidR="00761350">
        <w:t xml:space="preserve"> describes</w:t>
      </w:r>
      <w:r w:rsidR="00761350" w:rsidRPr="00761350">
        <w:t xml:space="preserve"> framework of service delivery</w:t>
      </w:r>
      <w:r w:rsidR="00761350">
        <w:t>, program a</w:t>
      </w:r>
      <w:r w:rsidR="00761350" w:rsidRPr="00761350">
        <w:t>chievements and milestones upon which your contract will be monitored by DEL. Our goal is to</w:t>
      </w:r>
      <w:r w:rsidR="00761350">
        <w:t xml:space="preserve"> use a strengths based</w:t>
      </w:r>
      <w:r w:rsidR="00761350" w:rsidRPr="00761350">
        <w:t xml:space="preserve"> approach</w:t>
      </w:r>
      <w:r w:rsidR="00761350">
        <w:t xml:space="preserve"> to</w:t>
      </w:r>
      <w:r w:rsidR="00761350" w:rsidRPr="00761350">
        <w:t xml:space="preserve"> monitoring </w:t>
      </w:r>
      <w:r w:rsidR="00761350">
        <w:t>that</w:t>
      </w:r>
      <w:r w:rsidR="00761350" w:rsidRPr="00761350">
        <w:t xml:space="preserve"> </w:t>
      </w:r>
    </w:p>
    <w:p w:rsidR="00761350" w:rsidRDefault="00761350" w:rsidP="00F35111">
      <w:pPr>
        <w:pStyle w:val="bullet1"/>
        <w:numPr>
          <w:ilvl w:val="0"/>
          <w:numId w:val="19"/>
        </w:numPr>
      </w:pPr>
      <w:r w:rsidRPr="00761350">
        <w:t>acknowledg</w:t>
      </w:r>
      <w:r>
        <w:t>es</w:t>
      </w:r>
      <w:r w:rsidRPr="00761350">
        <w:t xml:space="preserve"> the </w:t>
      </w:r>
      <w:r w:rsidR="00521BB5">
        <w:t>incredible effort</w:t>
      </w:r>
      <w:r>
        <w:t xml:space="preserve"> to maintain fidelity to the program models while serving high risk families throughout the state</w:t>
      </w:r>
      <w:r w:rsidR="00521BB5">
        <w:t>,</w:t>
      </w:r>
      <w:r>
        <w:t xml:space="preserve"> and </w:t>
      </w:r>
    </w:p>
    <w:p w:rsidR="00761350" w:rsidRDefault="00761350" w:rsidP="00F35111">
      <w:pPr>
        <w:pStyle w:val="bullet1"/>
        <w:numPr>
          <w:ilvl w:val="0"/>
          <w:numId w:val="19"/>
        </w:numPr>
      </w:pPr>
      <w:r w:rsidRPr="00761350">
        <w:t>continues to aim high in accomplishing high quality service delivery, maintaining enrollment targets and serving families with adequate dosage to make a sustained difference in</w:t>
      </w:r>
      <w:r>
        <w:t xml:space="preserve"> the</w:t>
      </w:r>
      <w:r w:rsidRPr="00761350">
        <w:t xml:space="preserve"> lives </w:t>
      </w:r>
      <w:r>
        <w:t xml:space="preserve">of participating </w:t>
      </w:r>
      <w:r w:rsidRPr="00761350">
        <w:t>children</w:t>
      </w:r>
      <w:r>
        <w:t xml:space="preserve"> and their parents</w:t>
      </w:r>
      <w:r w:rsidR="00521BB5">
        <w:t>.</w:t>
      </w:r>
    </w:p>
    <w:p w:rsidR="00761350" w:rsidRDefault="00761350" w:rsidP="00521BB5">
      <w:pPr>
        <w:pStyle w:val="bullet1"/>
        <w:numPr>
          <w:ilvl w:val="0"/>
          <w:numId w:val="0"/>
        </w:numPr>
        <w:spacing w:after="240"/>
      </w:pPr>
      <w:r>
        <w:t>Over the year, based on submitted reports and communication with you, your DEL program specialist will review your program performance in the following areas. If areas of concern arise, you may expect direct communication and support from DEL and Thrive to address these areas. If performance concerns continue, a more formal process of Implementation Improvement Planning will ensue.</w:t>
      </w:r>
    </w:p>
    <w:tbl>
      <w:tblPr>
        <w:tblStyle w:val="TableGrid"/>
        <w:tblW w:w="9360" w:type="dxa"/>
        <w:jc w:val="center"/>
        <w:tblLook w:val="04A0" w:firstRow="1" w:lastRow="0" w:firstColumn="1" w:lastColumn="0" w:noHBand="0" w:noVBand="1"/>
      </w:tblPr>
      <w:tblGrid>
        <w:gridCol w:w="2700"/>
        <w:gridCol w:w="6660"/>
      </w:tblGrid>
      <w:tr w:rsidR="00E66854" w:rsidRPr="00E66854" w:rsidTr="00E66854">
        <w:trPr>
          <w:jc w:val="center"/>
        </w:trPr>
        <w:tc>
          <w:tcPr>
            <w:tcW w:w="2700" w:type="dxa"/>
            <w:shd w:val="clear" w:color="auto" w:fill="C6D9F1" w:themeFill="text2" w:themeFillTint="33"/>
          </w:tcPr>
          <w:p w:rsidR="00E66854" w:rsidRPr="00E66854" w:rsidRDefault="00E66854" w:rsidP="00521BB5">
            <w:pPr>
              <w:pStyle w:val="text3"/>
              <w:spacing w:before="60" w:after="0"/>
              <w:ind w:left="0"/>
              <w:rPr>
                <w:b/>
                <w:sz w:val="24"/>
              </w:rPr>
            </w:pPr>
            <w:r w:rsidRPr="00E66854">
              <w:rPr>
                <w:b/>
                <w:sz w:val="24"/>
              </w:rPr>
              <w:t>Monitoring Topic</w:t>
            </w:r>
          </w:p>
        </w:tc>
        <w:tc>
          <w:tcPr>
            <w:tcW w:w="6660" w:type="dxa"/>
            <w:shd w:val="clear" w:color="auto" w:fill="C6D9F1" w:themeFill="text2" w:themeFillTint="33"/>
          </w:tcPr>
          <w:p w:rsidR="00E66854" w:rsidRPr="00E66854" w:rsidRDefault="00E66854" w:rsidP="00521BB5">
            <w:pPr>
              <w:pStyle w:val="text3"/>
              <w:spacing w:before="60" w:after="0"/>
              <w:ind w:left="0"/>
              <w:rPr>
                <w:b/>
                <w:sz w:val="24"/>
              </w:rPr>
            </w:pPr>
            <w:r w:rsidRPr="00E66854">
              <w:rPr>
                <w:b/>
                <w:sz w:val="24"/>
              </w:rPr>
              <w:t>General Review</w:t>
            </w:r>
          </w:p>
        </w:tc>
      </w:tr>
      <w:tr w:rsidR="00E66854" w:rsidRPr="00E66854" w:rsidTr="00C91EC4">
        <w:trPr>
          <w:jc w:val="center"/>
        </w:trPr>
        <w:tc>
          <w:tcPr>
            <w:tcW w:w="2700" w:type="dxa"/>
          </w:tcPr>
          <w:p w:rsidR="00E66854" w:rsidRPr="00E66854" w:rsidRDefault="00E66854" w:rsidP="00521BB5">
            <w:pPr>
              <w:pStyle w:val="text3"/>
              <w:numPr>
                <w:ilvl w:val="0"/>
                <w:numId w:val="20"/>
              </w:numPr>
              <w:spacing w:before="60"/>
              <w:ind w:left="360"/>
              <w:rPr>
                <w:b/>
              </w:rPr>
            </w:pPr>
            <w:r>
              <w:rPr>
                <w:b/>
              </w:rPr>
              <w:t xml:space="preserve">Model Fidelity </w:t>
            </w:r>
            <w:r w:rsidR="00521BB5">
              <w:rPr>
                <w:b/>
              </w:rPr>
              <w:br/>
            </w:r>
            <w:r>
              <w:rPr>
                <w:b/>
              </w:rPr>
              <w:t>Letter and Indicators</w:t>
            </w:r>
          </w:p>
        </w:tc>
        <w:tc>
          <w:tcPr>
            <w:tcW w:w="6660" w:type="dxa"/>
          </w:tcPr>
          <w:p w:rsidR="00382095" w:rsidRDefault="00521BB5" w:rsidP="00F35111">
            <w:pPr>
              <w:pStyle w:val="bullet1"/>
            </w:pPr>
            <w:r>
              <w:t xml:space="preserve">By 12/31/17 </w:t>
            </w:r>
            <w:r w:rsidR="00B84342">
              <w:t>National Service Office for Program Model</w:t>
            </w:r>
            <w:r>
              <w:t>s</w:t>
            </w:r>
            <w:r w:rsidR="00B84342">
              <w:t xml:space="preserve"> </w:t>
            </w:r>
            <w:r>
              <w:t xml:space="preserve">have </w:t>
            </w:r>
            <w:r w:rsidR="00B84342">
              <w:t>issue</w:t>
            </w:r>
            <w:r>
              <w:t>d</w:t>
            </w:r>
            <w:r w:rsidR="00B84342">
              <w:t xml:space="preserve"> a letter indicating the program is operating with fidelity to home visiting program model.</w:t>
            </w:r>
          </w:p>
          <w:p w:rsidR="00B84342" w:rsidRDefault="00B84342" w:rsidP="00F35111">
            <w:pPr>
              <w:pStyle w:val="bullet1"/>
            </w:pPr>
            <w:r>
              <w:t>Program</w:t>
            </w:r>
            <w:r w:rsidR="00521BB5">
              <w:t>s</w:t>
            </w:r>
            <w:r>
              <w:t xml:space="preserve"> not having a national service office have worked with Thrive to develop indicators of fidelity and are demonstrating fidelity to t</w:t>
            </w:r>
            <w:r w:rsidR="00521BB5">
              <w:t>hose indicators.</w:t>
            </w:r>
          </w:p>
          <w:p w:rsidR="00E66854" w:rsidRPr="00E66854" w:rsidRDefault="00B84342" w:rsidP="00BE481E">
            <w:pPr>
              <w:pStyle w:val="bullet1"/>
            </w:pPr>
            <w:r>
              <w:t xml:space="preserve">For programs where the national service office or Thrive indicate there are concerns with </w:t>
            </w:r>
            <w:r w:rsidR="00521BB5">
              <w:t xml:space="preserve">model </w:t>
            </w:r>
            <w:r>
              <w:t xml:space="preserve">fidelity, the program </w:t>
            </w:r>
            <w:r w:rsidR="00BE481E">
              <w:t>is</w:t>
            </w:r>
            <w:r>
              <w:t xml:space="preserve"> progress</w:t>
            </w:r>
            <w:r w:rsidR="00BE481E">
              <w:t>ing</w:t>
            </w:r>
            <w:r>
              <w:t xml:space="preserve"> in addressing and correcting those </w:t>
            </w:r>
            <w:r w:rsidR="00655293">
              <w:t>areas of fidelity concerns</w:t>
            </w:r>
            <w:r>
              <w:t>.</w:t>
            </w:r>
          </w:p>
        </w:tc>
      </w:tr>
      <w:tr w:rsidR="00E66854" w:rsidRPr="00E66854" w:rsidTr="00E66854">
        <w:trPr>
          <w:jc w:val="center"/>
        </w:trPr>
        <w:tc>
          <w:tcPr>
            <w:tcW w:w="2700" w:type="dxa"/>
          </w:tcPr>
          <w:p w:rsidR="00E66854" w:rsidRPr="00E66854" w:rsidRDefault="00E66854" w:rsidP="00521BB5">
            <w:pPr>
              <w:pStyle w:val="text3"/>
              <w:numPr>
                <w:ilvl w:val="0"/>
                <w:numId w:val="20"/>
              </w:numPr>
              <w:spacing w:before="60"/>
              <w:ind w:left="360"/>
              <w:rPr>
                <w:b/>
              </w:rPr>
            </w:pPr>
            <w:r w:rsidRPr="00E66854">
              <w:rPr>
                <w:b/>
              </w:rPr>
              <w:t>Staff</w:t>
            </w:r>
            <w:r w:rsidR="00655293">
              <w:rPr>
                <w:b/>
              </w:rPr>
              <w:t>ing, Supervision, and Training</w:t>
            </w:r>
          </w:p>
        </w:tc>
        <w:tc>
          <w:tcPr>
            <w:tcW w:w="6660" w:type="dxa"/>
          </w:tcPr>
          <w:p w:rsidR="00B84342" w:rsidRDefault="00B84342" w:rsidP="00F35111">
            <w:pPr>
              <w:pStyle w:val="bullet1"/>
            </w:pPr>
            <w:r>
              <w:t xml:space="preserve">The program is maintaining sufficient </w:t>
            </w:r>
            <w:r w:rsidR="00521BB5">
              <w:t>staffing</w:t>
            </w:r>
            <w:r>
              <w:t xml:space="preserve"> and training for </w:t>
            </w:r>
            <w:r w:rsidR="00521BB5">
              <w:t>staff</w:t>
            </w:r>
            <w:r>
              <w:t xml:space="preserve"> to deliver expected number of home visits to the </w:t>
            </w:r>
            <w:r w:rsidR="00521BB5">
              <w:t>expected</w:t>
            </w:r>
            <w:r>
              <w:t xml:space="preserve"> caseload of participants.</w:t>
            </w:r>
          </w:p>
          <w:p w:rsidR="00E66854" w:rsidRDefault="00B84342" w:rsidP="00F35111">
            <w:pPr>
              <w:pStyle w:val="bullet1"/>
            </w:pPr>
            <w:r>
              <w:t>Programs with s</w:t>
            </w:r>
            <w:r w:rsidR="00655293">
              <w:t>taff changes</w:t>
            </w:r>
            <w:r>
              <w:t xml:space="preserve"> have developed plans for filling vacancies quickly and with qualified personnel.</w:t>
            </w:r>
          </w:p>
          <w:p w:rsidR="00B84342" w:rsidRDefault="00B84342" w:rsidP="00F35111">
            <w:pPr>
              <w:pStyle w:val="bullet1"/>
            </w:pPr>
            <w:r>
              <w:t>All programs have policies in place to retain personnel.</w:t>
            </w:r>
          </w:p>
          <w:p w:rsidR="00655293" w:rsidRPr="00E66854" w:rsidRDefault="00431561" w:rsidP="00431561">
            <w:pPr>
              <w:pStyle w:val="bullet1"/>
            </w:pPr>
            <w:r>
              <w:t>H</w:t>
            </w:r>
            <w:r w:rsidR="00402FBF">
              <w:t xml:space="preserve">ome visitors working at .5 FTE or greater receive at least 2 hours of individual </w:t>
            </w:r>
            <w:r w:rsidR="00402FBF" w:rsidRPr="004D70C2">
              <w:rPr>
                <w:b/>
              </w:rPr>
              <w:t>reflective</w:t>
            </w:r>
            <w:r w:rsidR="00402FBF">
              <w:t xml:space="preserve"> supervision and 1 hour </w:t>
            </w:r>
            <w:r>
              <w:t>of group supervision each month.</w:t>
            </w:r>
          </w:p>
        </w:tc>
      </w:tr>
      <w:tr w:rsidR="00E66854" w:rsidRPr="00E66854" w:rsidTr="00E66854">
        <w:trPr>
          <w:jc w:val="center"/>
        </w:trPr>
        <w:tc>
          <w:tcPr>
            <w:tcW w:w="2700" w:type="dxa"/>
          </w:tcPr>
          <w:p w:rsidR="00E66854" w:rsidRPr="00E66854" w:rsidRDefault="00E66854" w:rsidP="00521BB5">
            <w:pPr>
              <w:pStyle w:val="text3"/>
              <w:numPr>
                <w:ilvl w:val="0"/>
                <w:numId w:val="20"/>
              </w:numPr>
              <w:spacing w:before="60"/>
              <w:ind w:left="360"/>
              <w:rPr>
                <w:b/>
              </w:rPr>
            </w:pPr>
            <w:r w:rsidRPr="00E66854">
              <w:rPr>
                <w:b/>
              </w:rPr>
              <w:t>Service Area and Recruitment of Priority Populations</w:t>
            </w:r>
          </w:p>
        </w:tc>
        <w:tc>
          <w:tcPr>
            <w:tcW w:w="6660" w:type="dxa"/>
          </w:tcPr>
          <w:p w:rsidR="00655293" w:rsidRPr="00E66854" w:rsidRDefault="00431561" w:rsidP="00431561">
            <w:pPr>
              <w:pStyle w:val="bullet1"/>
            </w:pPr>
            <w:r>
              <w:t>Program is enrolling HVSA priority populations and meeting contractual requirements for geographic and other specific characteristics when applicable.</w:t>
            </w:r>
          </w:p>
        </w:tc>
      </w:tr>
      <w:tr w:rsidR="00E66854" w:rsidRPr="00E66854" w:rsidTr="00E66854">
        <w:trPr>
          <w:jc w:val="center"/>
        </w:trPr>
        <w:tc>
          <w:tcPr>
            <w:tcW w:w="2700" w:type="dxa"/>
          </w:tcPr>
          <w:p w:rsidR="00E66854" w:rsidRPr="00E66854" w:rsidRDefault="00E66854" w:rsidP="00521BB5">
            <w:pPr>
              <w:pStyle w:val="text3"/>
              <w:numPr>
                <w:ilvl w:val="0"/>
                <w:numId w:val="20"/>
              </w:numPr>
              <w:spacing w:before="60"/>
              <w:ind w:left="360"/>
              <w:rPr>
                <w:b/>
              </w:rPr>
            </w:pPr>
            <w:r w:rsidRPr="00E66854">
              <w:rPr>
                <w:b/>
              </w:rPr>
              <w:t>Participant Enrollment, Retention and Caseload Maintenance</w:t>
            </w:r>
          </w:p>
        </w:tc>
        <w:tc>
          <w:tcPr>
            <w:tcW w:w="6660" w:type="dxa"/>
          </w:tcPr>
          <w:p w:rsidR="00E66854" w:rsidRPr="00E66854" w:rsidRDefault="00655293" w:rsidP="00F35111">
            <w:pPr>
              <w:pStyle w:val="bullet1"/>
            </w:pPr>
            <w:r>
              <w:t>Enrollment–program</w:t>
            </w:r>
            <w:r w:rsidR="00F35111">
              <w:t xml:space="preserve"> has an active enrollment of at least</w:t>
            </w:r>
            <w:r>
              <w:t xml:space="preserve"> 85% of </w:t>
            </w:r>
            <w:r w:rsidR="00F35111">
              <w:t xml:space="preserve">maximum service </w:t>
            </w:r>
            <w:r>
              <w:t>capacity (</w:t>
            </w:r>
            <w:r w:rsidR="00F35111">
              <w:t xml:space="preserve">based on </w:t>
            </w:r>
            <w:r>
              <w:t>DOH data</w:t>
            </w:r>
            <w:r w:rsidR="00F35111">
              <w:t xml:space="preserve"> report</w:t>
            </w:r>
            <w:r>
              <w:t>)</w:t>
            </w:r>
            <w:r w:rsidR="00F35111">
              <w:t xml:space="preserve">. </w:t>
            </w:r>
          </w:p>
        </w:tc>
      </w:tr>
      <w:tr w:rsidR="00E66854" w:rsidRPr="00E66854" w:rsidTr="00E66854">
        <w:trPr>
          <w:jc w:val="center"/>
        </w:trPr>
        <w:tc>
          <w:tcPr>
            <w:tcW w:w="2700" w:type="dxa"/>
          </w:tcPr>
          <w:p w:rsidR="00E66854" w:rsidRPr="00E66854" w:rsidRDefault="00655293" w:rsidP="00521BB5">
            <w:pPr>
              <w:pStyle w:val="text3"/>
              <w:numPr>
                <w:ilvl w:val="0"/>
                <w:numId w:val="20"/>
              </w:numPr>
              <w:spacing w:before="60"/>
              <w:ind w:left="360"/>
              <w:rPr>
                <w:b/>
              </w:rPr>
            </w:pPr>
            <w:r>
              <w:rPr>
                <w:b/>
              </w:rPr>
              <w:lastRenderedPageBreak/>
              <w:t>Visit Frequency and Content</w:t>
            </w:r>
            <w:r w:rsidR="00E66854" w:rsidRPr="00E66854">
              <w:rPr>
                <w:b/>
              </w:rPr>
              <w:t xml:space="preserve"> </w:t>
            </w:r>
          </w:p>
        </w:tc>
        <w:tc>
          <w:tcPr>
            <w:tcW w:w="6660" w:type="dxa"/>
          </w:tcPr>
          <w:p w:rsidR="00655293" w:rsidRDefault="00655293" w:rsidP="00F35111">
            <w:pPr>
              <w:pStyle w:val="bullet1"/>
            </w:pPr>
            <w:r>
              <w:t>Dosage –program</w:t>
            </w:r>
            <w:r w:rsidR="00F35111">
              <w:t xml:space="preserve"> i</w:t>
            </w:r>
            <w:r>
              <w:t>s meeting model dosage requirements with at least 70% of participants (</w:t>
            </w:r>
            <w:r w:rsidR="00F35111">
              <w:t xml:space="preserve">based on </w:t>
            </w:r>
            <w:r>
              <w:t>DOH data</w:t>
            </w:r>
            <w:r w:rsidR="00F35111">
              <w:t xml:space="preserve"> report</w:t>
            </w:r>
            <w:r>
              <w:t>)</w:t>
            </w:r>
            <w:r w:rsidR="00F35111">
              <w:t>.</w:t>
            </w:r>
          </w:p>
          <w:p w:rsidR="00655293" w:rsidRPr="00E66854" w:rsidRDefault="00655293" w:rsidP="00431561">
            <w:pPr>
              <w:pStyle w:val="bullet1"/>
            </w:pPr>
            <w:r>
              <w:t>Screenings</w:t>
            </w:r>
            <w:r w:rsidR="00F35111">
              <w:t xml:space="preserve"> </w:t>
            </w:r>
            <w:r w:rsidR="00431561">
              <w:t>occur</w:t>
            </w:r>
            <w:r>
              <w:t xml:space="preserve"> with model fidelity</w:t>
            </w:r>
            <w:r w:rsidR="00F35111">
              <w:t xml:space="preserve">, and program </w:t>
            </w:r>
            <w:r>
              <w:t>describe</w:t>
            </w:r>
            <w:r w:rsidR="00431561">
              <w:t>s</w:t>
            </w:r>
            <w:r>
              <w:t xml:space="preserve"> successes and challenges with referrals</w:t>
            </w:r>
            <w:r w:rsidR="00F35111">
              <w:t>.</w:t>
            </w:r>
          </w:p>
        </w:tc>
      </w:tr>
      <w:tr w:rsidR="00E66854" w:rsidRPr="00E66854" w:rsidTr="00E66854">
        <w:trPr>
          <w:jc w:val="center"/>
        </w:trPr>
        <w:tc>
          <w:tcPr>
            <w:tcW w:w="2700" w:type="dxa"/>
          </w:tcPr>
          <w:p w:rsidR="00E66854" w:rsidRPr="009C0A9E" w:rsidRDefault="00E66854" w:rsidP="00521BB5">
            <w:pPr>
              <w:pStyle w:val="text3"/>
              <w:numPr>
                <w:ilvl w:val="0"/>
                <w:numId w:val="20"/>
              </w:numPr>
              <w:spacing w:before="60"/>
              <w:ind w:left="360"/>
              <w:rPr>
                <w:b/>
              </w:rPr>
            </w:pPr>
            <w:r w:rsidRPr="00E66854">
              <w:rPr>
                <w:b/>
              </w:rPr>
              <w:t>Systems Connections</w:t>
            </w:r>
          </w:p>
        </w:tc>
        <w:tc>
          <w:tcPr>
            <w:tcW w:w="6660" w:type="dxa"/>
          </w:tcPr>
          <w:p w:rsidR="009C0A9E" w:rsidRDefault="00F35111" w:rsidP="00F35111">
            <w:pPr>
              <w:pStyle w:val="bullet1"/>
            </w:pPr>
            <w:r>
              <w:t>Pr</w:t>
            </w:r>
            <w:r w:rsidR="009C0A9E">
              <w:t xml:space="preserve">ogram </w:t>
            </w:r>
            <w:r>
              <w:t xml:space="preserve">reports on </w:t>
            </w:r>
            <w:r w:rsidR="009C0A9E">
              <w:t>connecti</w:t>
            </w:r>
            <w:r>
              <w:t>ons</w:t>
            </w:r>
            <w:r w:rsidR="009C0A9E">
              <w:t xml:space="preserve"> with their re</w:t>
            </w:r>
            <w:r>
              <w:t xml:space="preserve">gional early learning </w:t>
            </w:r>
            <w:r w:rsidRPr="00F35111">
              <w:t>coalition</w:t>
            </w:r>
            <w:r>
              <w:t xml:space="preserve"> and other important local</w:t>
            </w:r>
            <w:r w:rsidR="009C0A9E">
              <w:t xml:space="preserve"> early childhood </w:t>
            </w:r>
            <w:r>
              <w:t>systems partners.</w:t>
            </w:r>
          </w:p>
          <w:p w:rsidR="009C0A9E" w:rsidRPr="00E66854" w:rsidRDefault="00F35111" w:rsidP="00F35111">
            <w:pPr>
              <w:pStyle w:val="bullet1"/>
            </w:pPr>
            <w:r w:rsidRPr="00F35111">
              <w:t>F</w:t>
            </w:r>
            <w:r w:rsidR="009C0A9E" w:rsidRPr="00F35111">
              <w:t>or TANF</w:t>
            </w:r>
            <w:r w:rsidRPr="00F35111">
              <w:t xml:space="preserve"> programs, they are</w:t>
            </w:r>
            <w:r w:rsidR="009C0A9E" w:rsidRPr="00F35111">
              <w:t xml:space="preserve"> building and maintaining strong relationships with local DSHS C</w:t>
            </w:r>
            <w:r w:rsidRPr="00F35111">
              <w:t>SOs</w:t>
            </w:r>
            <w:r w:rsidR="009C0A9E" w:rsidRPr="00F35111">
              <w:t xml:space="preserve"> and </w:t>
            </w:r>
            <w:r w:rsidRPr="00F35111">
              <w:t>utilizing</w:t>
            </w:r>
            <w:r w:rsidR="009C0A9E" w:rsidRPr="00F35111">
              <w:t xml:space="preserve"> eJas</w:t>
            </w:r>
            <w:r w:rsidRPr="00F35111">
              <w:t>.</w:t>
            </w:r>
          </w:p>
        </w:tc>
      </w:tr>
      <w:tr w:rsidR="00E66854" w:rsidRPr="00E66854" w:rsidTr="00E66854">
        <w:trPr>
          <w:jc w:val="center"/>
        </w:trPr>
        <w:tc>
          <w:tcPr>
            <w:tcW w:w="2700" w:type="dxa"/>
          </w:tcPr>
          <w:p w:rsidR="00E66854" w:rsidRPr="00E66854" w:rsidRDefault="00E66854" w:rsidP="00521BB5">
            <w:pPr>
              <w:pStyle w:val="text3"/>
              <w:numPr>
                <w:ilvl w:val="0"/>
                <w:numId w:val="20"/>
              </w:numPr>
              <w:spacing w:before="60"/>
              <w:ind w:left="360"/>
              <w:rPr>
                <w:b/>
              </w:rPr>
            </w:pPr>
            <w:r w:rsidRPr="00E66854">
              <w:rPr>
                <w:b/>
              </w:rPr>
              <w:t>Data Collection and Evaluation Requirements</w:t>
            </w:r>
          </w:p>
        </w:tc>
        <w:tc>
          <w:tcPr>
            <w:tcW w:w="6660" w:type="dxa"/>
          </w:tcPr>
          <w:p w:rsidR="00110D6E" w:rsidRDefault="00F35111" w:rsidP="00F35111">
            <w:pPr>
              <w:pStyle w:val="bullet1"/>
            </w:pPr>
            <w:r>
              <w:t>Program has</w:t>
            </w:r>
            <w:r w:rsidR="00110D6E">
              <w:t xml:space="preserve"> execute</w:t>
            </w:r>
            <w:r>
              <w:t>d the DSA with DOH and is on</w:t>
            </w:r>
            <w:r w:rsidR="00110D6E">
              <w:t xml:space="preserve"> trac</w:t>
            </w:r>
            <w:r>
              <w:t>k with data entry and downloads.</w:t>
            </w:r>
          </w:p>
          <w:p w:rsidR="00110D6E" w:rsidRPr="00E66854" w:rsidRDefault="00F35111" w:rsidP="00BE481E">
            <w:pPr>
              <w:pStyle w:val="bullet1"/>
            </w:pPr>
            <w:r>
              <w:t>Program review</w:t>
            </w:r>
            <w:r w:rsidR="00BE481E">
              <w:t>s</w:t>
            </w:r>
            <w:r>
              <w:t xml:space="preserve"> data and</w:t>
            </w:r>
            <w:r w:rsidR="00BE481E">
              <w:t xml:space="preserve"> I progressing on</w:t>
            </w:r>
            <w:r>
              <w:t xml:space="preserve"> performance measures.</w:t>
            </w:r>
          </w:p>
        </w:tc>
      </w:tr>
      <w:tr w:rsidR="00E66854" w:rsidRPr="00E66854" w:rsidTr="00E66854">
        <w:trPr>
          <w:jc w:val="center"/>
        </w:trPr>
        <w:tc>
          <w:tcPr>
            <w:tcW w:w="2700" w:type="dxa"/>
          </w:tcPr>
          <w:p w:rsidR="00E66854" w:rsidRPr="00E66854" w:rsidRDefault="00E66854" w:rsidP="00521BB5">
            <w:pPr>
              <w:pStyle w:val="text3"/>
              <w:numPr>
                <w:ilvl w:val="0"/>
                <w:numId w:val="20"/>
              </w:numPr>
              <w:spacing w:before="60"/>
              <w:ind w:left="360"/>
              <w:rPr>
                <w:b/>
              </w:rPr>
            </w:pPr>
            <w:r w:rsidRPr="00E66854">
              <w:rPr>
                <w:b/>
              </w:rPr>
              <w:t>Continuous Quality Improvement Activities</w:t>
            </w:r>
          </w:p>
        </w:tc>
        <w:tc>
          <w:tcPr>
            <w:tcW w:w="6660" w:type="dxa"/>
          </w:tcPr>
          <w:p w:rsidR="00110D6E" w:rsidRPr="00E66854" w:rsidRDefault="00F35111" w:rsidP="00BE481E">
            <w:pPr>
              <w:pStyle w:val="bullet1"/>
            </w:pPr>
            <w:r>
              <w:t>Program is o</w:t>
            </w:r>
            <w:r w:rsidR="00BE481E">
              <w:t>n track with CQI requirements (</w:t>
            </w:r>
            <w:r>
              <w:t xml:space="preserve">Plan, Charter, </w:t>
            </w:r>
            <w:r w:rsidR="00BE481E">
              <w:t>and Project</w:t>
            </w:r>
            <w:r>
              <w:t xml:space="preserve"> Reports) and </w:t>
            </w:r>
            <w:r w:rsidR="00BE481E">
              <w:t>is learning from their PDSA cycles and applying learning</w:t>
            </w:r>
            <w:r>
              <w:t>.</w:t>
            </w:r>
          </w:p>
        </w:tc>
      </w:tr>
      <w:tr w:rsidR="00E66854" w:rsidRPr="00E66854" w:rsidTr="00E66854">
        <w:trPr>
          <w:jc w:val="center"/>
        </w:trPr>
        <w:tc>
          <w:tcPr>
            <w:tcW w:w="2700" w:type="dxa"/>
          </w:tcPr>
          <w:p w:rsidR="00E66854" w:rsidRPr="00E66854" w:rsidRDefault="00E66854" w:rsidP="00521BB5">
            <w:pPr>
              <w:pStyle w:val="text3"/>
              <w:numPr>
                <w:ilvl w:val="0"/>
                <w:numId w:val="20"/>
              </w:numPr>
              <w:spacing w:before="60"/>
              <w:ind w:left="360"/>
              <w:rPr>
                <w:b/>
              </w:rPr>
            </w:pPr>
            <w:r w:rsidRPr="00E66854">
              <w:rPr>
                <w:b/>
              </w:rPr>
              <w:t>Quality Improvement Technical Assistance</w:t>
            </w:r>
          </w:p>
        </w:tc>
        <w:tc>
          <w:tcPr>
            <w:tcW w:w="6660" w:type="dxa"/>
          </w:tcPr>
          <w:p w:rsidR="00E66854" w:rsidRDefault="00BE481E" w:rsidP="00F35111">
            <w:pPr>
              <w:pStyle w:val="bullet1"/>
            </w:pPr>
            <w:r>
              <w:t>Program</w:t>
            </w:r>
            <w:r w:rsidR="00110D6E">
              <w:t xml:space="preserve"> submitted a Self-Reflect to Thrive</w:t>
            </w:r>
            <w:r>
              <w:t>.</w:t>
            </w:r>
          </w:p>
          <w:p w:rsidR="00110D6E" w:rsidRPr="00E66854" w:rsidRDefault="00BE481E" w:rsidP="00BE481E">
            <w:pPr>
              <w:pStyle w:val="bullet1"/>
            </w:pPr>
            <w:r>
              <w:t>Program is</w:t>
            </w:r>
            <w:r w:rsidR="00110D6E">
              <w:t xml:space="preserve"> an active collaborator with Thrive in planning for and receiving TA</w:t>
            </w:r>
            <w:r>
              <w:t>, demonstrating</w:t>
            </w:r>
            <w:r w:rsidR="00110D6E">
              <w:t xml:space="preserve"> progress in organizational and program capacity to deliver high quality services</w:t>
            </w:r>
            <w:r>
              <w:t>.</w:t>
            </w:r>
          </w:p>
        </w:tc>
      </w:tr>
      <w:tr w:rsidR="00E66854" w:rsidRPr="00E66854" w:rsidTr="00E66854">
        <w:trPr>
          <w:jc w:val="center"/>
        </w:trPr>
        <w:tc>
          <w:tcPr>
            <w:tcW w:w="2700" w:type="dxa"/>
          </w:tcPr>
          <w:p w:rsidR="00E66854" w:rsidRPr="00E66854" w:rsidRDefault="00E66854" w:rsidP="00BE481E">
            <w:pPr>
              <w:pStyle w:val="text3"/>
              <w:numPr>
                <w:ilvl w:val="0"/>
                <w:numId w:val="20"/>
              </w:numPr>
              <w:spacing w:before="60"/>
              <w:ind w:left="360"/>
              <w:rPr>
                <w:b/>
              </w:rPr>
            </w:pPr>
            <w:r w:rsidRPr="00E66854">
              <w:rPr>
                <w:b/>
              </w:rPr>
              <w:t>Financial</w:t>
            </w:r>
            <w:r w:rsidR="00BE481E">
              <w:rPr>
                <w:b/>
              </w:rPr>
              <w:t>/expenditure</w:t>
            </w:r>
            <w:r w:rsidRPr="00E66854">
              <w:rPr>
                <w:b/>
              </w:rPr>
              <w:t xml:space="preserve"> documentation </w:t>
            </w:r>
          </w:p>
        </w:tc>
        <w:tc>
          <w:tcPr>
            <w:tcW w:w="6660" w:type="dxa"/>
          </w:tcPr>
          <w:p w:rsidR="00110D6E" w:rsidRPr="00E66854" w:rsidRDefault="00991924" w:rsidP="00F35111">
            <w:pPr>
              <w:pStyle w:val="bullet1"/>
            </w:pPr>
            <w:r>
              <w:t>Program has</w:t>
            </w:r>
            <w:r w:rsidR="00110D6E">
              <w:t xml:space="preserve"> submitt</w:t>
            </w:r>
            <w:r>
              <w:t>ed</w:t>
            </w:r>
            <w:r w:rsidR="00110D6E">
              <w:t xml:space="preserve"> adequate documentation support</w:t>
            </w:r>
            <w:r>
              <w:t>ing</w:t>
            </w:r>
            <w:r w:rsidR="00110D6E">
              <w:t xml:space="preserve"> invoices</w:t>
            </w:r>
            <w:r w:rsidR="00BE481E">
              <w:t>,</w:t>
            </w:r>
            <w:r>
              <w:t xml:space="preserve"> with e</w:t>
            </w:r>
            <w:r w:rsidR="00F35111">
              <w:t>xpenditures in line with budget</w:t>
            </w:r>
            <w:r w:rsidR="00BE481E">
              <w:t>.</w:t>
            </w:r>
          </w:p>
        </w:tc>
      </w:tr>
    </w:tbl>
    <w:p w:rsidR="00110D6E" w:rsidRPr="002A0AAB" w:rsidRDefault="00110D6E" w:rsidP="002A0AAB"/>
    <w:p w:rsidR="002A0AAB" w:rsidRDefault="002A0AAB" w:rsidP="002A0AAB"/>
    <w:sectPr w:rsidR="002A0A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6E" w:rsidRDefault="00110D6E" w:rsidP="00110D6E">
      <w:r>
        <w:separator/>
      </w:r>
    </w:p>
  </w:endnote>
  <w:endnote w:type="continuationSeparator" w:id="0">
    <w:p w:rsidR="00110D6E" w:rsidRDefault="00110D6E" w:rsidP="0011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42" w:rsidRPr="00B84342" w:rsidRDefault="00B84342" w:rsidP="00B84342">
    <w:pPr>
      <w:pStyle w:val="Footer"/>
      <w:spacing w:before="120"/>
      <w:rPr>
        <w:i/>
        <w:sz w:val="18"/>
      </w:rPr>
    </w:pPr>
    <w:r w:rsidRPr="00B84342">
      <w:rPr>
        <w:i/>
        <w:sz w:val="18"/>
      </w:rPr>
      <w:t xml:space="preserve">HVSA Monitoring Framework </w:t>
    </w:r>
    <w:r>
      <w:rPr>
        <w:i/>
        <w:sz w:val="18"/>
      </w:rPr>
      <w:br/>
    </w:r>
    <w:r w:rsidRPr="00B84342">
      <w:rPr>
        <w:i/>
        <w:sz w:val="18"/>
      </w:rPr>
      <w:t xml:space="preserve"> December 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6E" w:rsidRDefault="00110D6E" w:rsidP="00110D6E">
      <w:r>
        <w:separator/>
      </w:r>
    </w:p>
  </w:footnote>
  <w:footnote w:type="continuationSeparator" w:id="0">
    <w:p w:rsidR="00110D6E" w:rsidRDefault="00110D6E" w:rsidP="0011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6E" w:rsidRDefault="00B84342" w:rsidP="00B84342">
    <w:pPr>
      <w:pStyle w:val="Header"/>
      <w:spacing w:after="240"/>
    </w:pPr>
    <w:r w:rsidRPr="00E90DBC">
      <w:rPr>
        <w:noProof/>
      </w:rPr>
      <w:drawing>
        <wp:inline distT="0" distB="0" distL="0" distR="0" wp14:anchorId="00EF103F" wp14:editId="6E4EEBD1">
          <wp:extent cx="2257425" cy="432015"/>
          <wp:effectExtent l="0" t="0" r="0" b="6350"/>
          <wp:docPr id="3" name="Picture 10" descr="DEL_logo_color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DEL_logo_color_md.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1313" cy="432759"/>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6667F"/>
    <w:multiLevelType w:val="hybridMultilevel"/>
    <w:tmpl w:val="D95C5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A2D54"/>
    <w:multiLevelType w:val="hybridMultilevel"/>
    <w:tmpl w:val="6CC8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53A9B"/>
    <w:multiLevelType w:val="hybridMultilevel"/>
    <w:tmpl w:val="904AD772"/>
    <w:lvl w:ilvl="0" w:tplc="C0A86CF0">
      <w:start w:val="1"/>
      <w:numFmt w:val="bullet"/>
      <w:pStyle w:val="bullet1"/>
      <w:lvlText w:val=""/>
      <w:lvlJc w:val="left"/>
      <w:pPr>
        <w:ind w:left="907" w:hanging="360"/>
      </w:pPr>
      <w:rPr>
        <w:rFonts w:ascii="Symbol" w:hAnsi="Symbol" w:hint="default"/>
        <w:sz w:val="18"/>
      </w:rPr>
    </w:lvl>
    <w:lvl w:ilvl="1" w:tplc="04090001">
      <w:start w:val="1"/>
      <w:numFmt w:val="bullet"/>
      <w:lvlText w:val=""/>
      <w:lvlJc w:val="left"/>
      <w:pPr>
        <w:ind w:left="1627" w:hanging="360"/>
      </w:pPr>
      <w:rPr>
        <w:rFonts w:ascii="Symbol" w:hAnsi="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2FD54734"/>
    <w:multiLevelType w:val="hybridMultilevel"/>
    <w:tmpl w:val="B9767968"/>
    <w:lvl w:ilvl="0" w:tplc="E65E3C12">
      <w:start w:val="1"/>
      <w:numFmt w:val="bullet"/>
      <w:lvlText w:val=""/>
      <w:lvlJc w:val="left"/>
      <w:pPr>
        <w:ind w:left="907" w:hanging="360"/>
      </w:pPr>
      <w:rPr>
        <w:rFonts w:ascii="Symbol" w:hAnsi="Symbol" w:hint="default"/>
        <w:sz w:val="18"/>
      </w:rPr>
    </w:lvl>
    <w:lvl w:ilvl="1" w:tplc="2E48045C">
      <w:start w:val="1"/>
      <w:numFmt w:val="bullet"/>
      <w:pStyle w:val="bullet3"/>
      <w:lvlText w:val="-"/>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nsid w:val="31787F3A"/>
    <w:multiLevelType w:val="hybridMultilevel"/>
    <w:tmpl w:val="4898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B0B2F"/>
    <w:multiLevelType w:val="hybridMultilevel"/>
    <w:tmpl w:val="C77ED6BC"/>
    <w:lvl w:ilvl="0" w:tplc="813697FE">
      <w:start w:val="1"/>
      <w:numFmt w:val="bullet"/>
      <w:pStyle w:val="ListParagraph"/>
      <w:lvlText w:val="-"/>
      <w:lvlJc w:val="left"/>
      <w:pPr>
        <w:ind w:left="9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23F67"/>
    <w:multiLevelType w:val="hybridMultilevel"/>
    <w:tmpl w:val="0CF6AEBC"/>
    <w:lvl w:ilvl="0" w:tplc="A4C6B50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1438D1"/>
    <w:multiLevelType w:val="multilevel"/>
    <w:tmpl w:val="E36C2E70"/>
    <w:lvl w:ilvl="0">
      <w:start w:val="1"/>
      <w:numFmt w:val="decimal"/>
      <w:lvlText w:val="%1."/>
      <w:lvlJc w:val="left"/>
      <w:pPr>
        <w:ind w:left="460" w:hanging="360"/>
      </w:pPr>
      <w:rPr>
        <w:rFonts w:ascii="Calibri" w:eastAsia="Calibri" w:hAnsi="Calibri" w:hint="default"/>
        <w:spacing w:val="-1"/>
        <w:w w:val="100"/>
        <w:sz w:val="22"/>
        <w:szCs w:val="22"/>
      </w:rPr>
    </w:lvl>
    <w:lvl w:ilvl="1">
      <w:start w:val="1"/>
      <w:numFmt w:val="decimal"/>
      <w:pStyle w:val="Heading2"/>
      <w:lvlText w:val="%1.%2."/>
      <w:lvlJc w:val="left"/>
      <w:pPr>
        <w:ind w:left="892" w:hanging="504"/>
      </w:pPr>
      <w:rPr>
        <w:rFonts w:ascii="Calibri" w:eastAsia="Calibri" w:hAnsi="Calibri" w:hint="default"/>
        <w:spacing w:val="-1"/>
        <w:w w:val="100"/>
        <w:sz w:val="22"/>
        <w:szCs w:val="22"/>
      </w:rPr>
    </w:lvl>
    <w:lvl w:ilvl="2">
      <w:start w:val="1"/>
      <w:numFmt w:val="decimal"/>
      <w:pStyle w:val="Heading3"/>
      <w:lvlText w:val="%1.%2.%3."/>
      <w:lvlJc w:val="left"/>
      <w:pPr>
        <w:ind w:left="1324" w:hanging="554"/>
      </w:pPr>
      <w:rPr>
        <w:rFonts w:ascii="Calibri" w:eastAsia="Calibri" w:hAnsi="Calibri" w:hint="default"/>
        <w:spacing w:val="-1"/>
        <w:w w:val="100"/>
        <w:sz w:val="22"/>
        <w:szCs w:val="22"/>
      </w:rPr>
    </w:lvl>
    <w:lvl w:ilvl="3">
      <w:start w:val="1"/>
      <w:numFmt w:val="decimal"/>
      <w:pStyle w:val="Heading4"/>
      <w:lvlText w:val="%1.%2.%3.%4."/>
      <w:lvlJc w:val="left"/>
      <w:pPr>
        <w:ind w:left="2260" w:hanging="1080"/>
      </w:pPr>
      <w:rPr>
        <w:rFonts w:ascii="Calibri" w:eastAsia="Calibri" w:hAnsi="Calibri" w:hint="default"/>
        <w:spacing w:val="-1"/>
        <w:w w:val="100"/>
        <w:sz w:val="22"/>
        <w:szCs w:val="22"/>
      </w:rPr>
    </w:lvl>
    <w:lvl w:ilvl="4">
      <w:start w:val="1"/>
      <w:numFmt w:val="bullet"/>
      <w:lvlText w:val="•"/>
      <w:lvlJc w:val="left"/>
      <w:pPr>
        <w:ind w:left="1680" w:hanging="1080"/>
      </w:pPr>
      <w:rPr>
        <w:rFonts w:hint="default"/>
      </w:rPr>
    </w:lvl>
    <w:lvl w:ilvl="5">
      <w:start w:val="1"/>
      <w:numFmt w:val="bullet"/>
      <w:lvlText w:val="•"/>
      <w:lvlJc w:val="left"/>
      <w:pPr>
        <w:ind w:left="2180" w:hanging="1080"/>
      </w:pPr>
      <w:rPr>
        <w:rFonts w:hint="default"/>
      </w:rPr>
    </w:lvl>
    <w:lvl w:ilvl="6">
      <w:start w:val="1"/>
      <w:numFmt w:val="bullet"/>
      <w:lvlText w:val="•"/>
      <w:lvlJc w:val="left"/>
      <w:pPr>
        <w:ind w:left="2260" w:hanging="1080"/>
      </w:pPr>
      <w:rPr>
        <w:rFonts w:hint="default"/>
      </w:rPr>
    </w:lvl>
    <w:lvl w:ilvl="7">
      <w:start w:val="1"/>
      <w:numFmt w:val="bullet"/>
      <w:lvlText w:val="•"/>
      <w:lvlJc w:val="left"/>
      <w:pPr>
        <w:ind w:left="4215" w:hanging="1080"/>
      </w:pPr>
      <w:rPr>
        <w:rFonts w:hint="default"/>
      </w:rPr>
    </w:lvl>
    <w:lvl w:ilvl="8">
      <w:start w:val="1"/>
      <w:numFmt w:val="bullet"/>
      <w:lvlText w:val="•"/>
      <w:lvlJc w:val="left"/>
      <w:pPr>
        <w:ind w:left="6170" w:hanging="1080"/>
      </w:pPr>
      <w:rPr>
        <w:rFonts w:hint="default"/>
      </w:rPr>
    </w:lvl>
  </w:abstractNum>
  <w:abstractNum w:abstractNumId="8">
    <w:nsid w:val="64E20CB0"/>
    <w:multiLevelType w:val="hybridMultilevel"/>
    <w:tmpl w:val="C8F616EA"/>
    <w:lvl w:ilvl="0" w:tplc="57E2E23A">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C234F0D0">
      <w:start w:val="1"/>
      <w:numFmt w:val="bullet"/>
      <w:lvlText w:val="-"/>
      <w:lvlJc w:val="left"/>
      <w:pPr>
        <w:ind w:left="3240" w:hanging="180"/>
      </w:pPr>
      <w:rPr>
        <w:rFonts w:ascii="Courier New" w:hAnsi="Courier New" w:cs="Times New Roman"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72A610D9"/>
    <w:multiLevelType w:val="multilevel"/>
    <w:tmpl w:val="283AABA6"/>
    <w:lvl w:ilvl="0">
      <w:start w:val="1"/>
      <w:numFmt w:val="bullet"/>
      <w:pStyle w:val="deliverable"/>
      <w:lvlText w:val=""/>
      <w:lvlJc w:val="left"/>
      <w:pPr>
        <w:ind w:left="460" w:hanging="360"/>
      </w:pPr>
      <w:rPr>
        <w:rFonts w:ascii="Symbol" w:hAnsi="Symbol" w:hint="default"/>
        <w:spacing w:val="-1"/>
        <w:w w:val="100"/>
        <w:sz w:val="22"/>
        <w:szCs w:val="22"/>
      </w:rPr>
    </w:lvl>
    <w:lvl w:ilvl="1">
      <w:start w:val="1"/>
      <w:numFmt w:val="decimal"/>
      <w:lvlText w:val="%1.%2."/>
      <w:lvlJc w:val="left"/>
      <w:pPr>
        <w:ind w:left="892" w:hanging="504"/>
      </w:pPr>
      <w:rPr>
        <w:rFonts w:ascii="Calibri" w:eastAsia="Calibri" w:hAnsi="Calibri" w:hint="default"/>
        <w:spacing w:val="-1"/>
        <w:w w:val="100"/>
        <w:sz w:val="22"/>
        <w:szCs w:val="22"/>
      </w:rPr>
    </w:lvl>
    <w:lvl w:ilvl="2">
      <w:start w:val="1"/>
      <w:numFmt w:val="decimal"/>
      <w:lvlText w:val="%1.%2.%3."/>
      <w:lvlJc w:val="left"/>
      <w:pPr>
        <w:ind w:left="1324" w:hanging="554"/>
      </w:pPr>
      <w:rPr>
        <w:rFonts w:ascii="Calibri" w:eastAsia="Calibri" w:hAnsi="Calibri" w:hint="default"/>
        <w:spacing w:val="-1"/>
        <w:w w:val="100"/>
        <w:sz w:val="22"/>
        <w:szCs w:val="22"/>
      </w:rPr>
    </w:lvl>
    <w:lvl w:ilvl="3">
      <w:start w:val="1"/>
      <w:numFmt w:val="decimal"/>
      <w:lvlText w:val="%1.%2.%3.%4."/>
      <w:lvlJc w:val="left"/>
      <w:pPr>
        <w:ind w:left="2260" w:hanging="1080"/>
      </w:pPr>
      <w:rPr>
        <w:rFonts w:ascii="Calibri" w:eastAsia="Calibri" w:hAnsi="Calibri" w:hint="default"/>
        <w:spacing w:val="-1"/>
        <w:w w:val="100"/>
        <w:sz w:val="22"/>
        <w:szCs w:val="22"/>
      </w:rPr>
    </w:lvl>
    <w:lvl w:ilvl="4">
      <w:start w:val="1"/>
      <w:numFmt w:val="bullet"/>
      <w:lvlText w:val="•"/>
      <w:lvlJc w:val="left"/>
      <w:pPr>
        <w:ind w:left="1680" w:hanging="1080"/>
      </w:pPr>
      <w:rPr>
        <w:rFonts w:hint="default"/>
      </w:rPr>
    </w:lvl>
    <w:lvl w:ilvl="5">
      <w:start w:val="1"/>
      <w:numFmt w:val="bullet"/>
      <w:lvlText w:val="•"/>
      <w:lvlJc w:val="left"/>
      <w:pPr>
        <w:ind w:left="2180" w:hanging="1080"/>
      </w:pPr>
      <w:rPr>
        <w:rFonts w:hint="default"/>
      </w:rPr>
    </w:lvl>
    <w:lvl w:ilvl="6">
      <w:start w:val="1"/>
      <w:numFmt w:val="bullet"/>
      <w:lvlText w:val="•"/>
      <w:lvlJc w:val="left"/>
      <w:pPr>
        <w:ind w:left="2260" w:hanging="1080"/>
      </w:pPr>
      <w:rPr>
        <w:rFonts w:hint="default"/>
      </w:rPr>
    </w:lvl>
    <w:lvl w:ilvl="7">
      <w:start w:val="1"/>
      <w:numFmt w:val="bullet"/>
      <w:lvlText w:val="•"/>
      <w:lvlJc w:val="left"/>
      <w:pPr>
        <w:ind w:left="4215" w:hanging="1080"/>
      </w:pPr>
      <w:rPr>
        <w:rFonts w:hint="default"/>
      </w:rPr>
    </w:lvl>
    <w:lvl w:ilvl="8">
      <w:start w:val="1"/>
      <w:numFmt w:val="bullet"/>
      <w:lvlText w:val="•"/>
      <w:lvlJc w:val="left"/>
      <w:pPr>
        <w:ind w:left="6170" w:hanging="1080"/>
      </w:pPr>
      <w:rPr>
        <w:rFonts w:hint="default"/>
      </w:rPr>
    </w:lvl>
  </w:abstractNum>
  <w:num w:numId="1">
    <w:abstractNumId w:val="6"/>
  </w:num>
  <w:num w:numId="2">
    <w:abstractNumId w:val="2"/>
  </w:num>
  <w:num w:numId="3">
    <w:abstractNumId w:val="2"/>
  </w:num>
  <w:num w:numId="4">
    <w:abstractNumId w:val="9"/>
  </w:num>
  <w:num w:numId="5">
    <w:abstractNumId w:val="3"/>
  </w:num>
  <w:num w:numId="6">
    <w:abstractNumId w:val="2"/>
  </w:num>
  <w:num w:numId="7">
    <w:abstractNumId w:val="7"/>
  </w:num>
  <w:num w:numId="8">
    <w:abstractNumId w:val="7"/>
  </w:num>
  <w:num w:numId="9">
    <w:abstractNumId w:val="7"/>
  </w:num>
  <w:num w:numId="10">
    <w:abstractNumId w:val="7"/>
  </w:num>
  <w:num w:numId="11">
    <w:abstractNumId w:val="5"/>
  </w:num>
  <w:num w:numId="12">
    <w:abstractNumId w:val="2"/>
  </w:num>
  <w:num w:numId="13">
    <w:abstractNumId w:val="2"/>
  </w:num>
  <w:num w:numId="14">
    <w:abstractNumId w:val="9"/>
  </w:num>
  <w:num w:numId="15">
    <w:abstractNumId w:val="3"/>
  </w:num>
  <w:num w:numId="16">
    <w:abstractNumId w:val="2"/>
  </w:num>
  <w:num w:numId="1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54"/>
    <w:rsid w:val="00040197"/>
    <w:rsid w:val="0006155F"/>
    <w:rsid w:val="00110D6E"/>
    <w:rsid w:val="00234DD3"/>
    <w:rsid w:val="002A0AAB"/>
    <w:rsid w:val="0032746C"/>
    <w:rsid w:val="00382095"/>
    <w:rsid w:val="003A5CE0"/>
    <w:rsid w:val="00402FBF"/>
    <w:rsid w:val="00431561"/>
    <w:rsid w:val="00442B5B"/>
    <w:rsid w:val="004D70C2"/>
    <w:rsid w:val="00521BB5"/>
    <w:rsid w:val="00655293"/>
    <w:rsid w:val="006E6381"/>
    <w:rsid w:val="00761350"/>
    <w:rsid w:val="00991924"/>
    <w:rsid w:val="009C0A9E"/>
    <w:rsid w:val="00B84342"/>
    <w:rsid w:val="00BE481E"/>
    <w:rsid w:val="00C61847"/>
    <w:rsid w:val="00D52D08"/>
    <w:rsid w:val="00D95C5C"/>
    <w:rsid w:val="00E66854"/>
    <w:rsid w:val="00F3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7A0109-408B-49D5-A694-6073E769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CE0"/>
    <w:pPr>
      <w:spacing w:after="0" w:line="240" w:lineRule="auto"/>
    </w:pPr>
  </w:style>
  <w:style w:type="paragraph" w:styleId="Heading1">
    <w:name w:val="heading 1"/>
    <w:basedOn w:val="ListParagraph"/>
    <w:next w:val="Normal"/>
    <w:link w:val="Heading1Char"/>
    <w:uiPriority w:val="9"/>
    <w:qFormat/>
    <w:rsid w:val="0006155F"/>
    <w:pPr>
      <w:keepNext/>
      <w:numPr>
        <w:numId w:val="0"/>
      </w:numPr>
      <w:pBdr>
        <w:bottom w:val="single" w:sz="4" w:space="1" w:color="auto"/>
      </w:pBdr>
      <w:spacing w:before="0" w:after="360"/>
      <w:ind w:left="100"/>
      <w:outlineLvl w:val="0"/>
    </w:pPr>
    <w:rPr>
      <w:rFonts w:asciiTheme="majorHAnsi" w:hAnsiTheme="majorHAnsi" w:cs="Arial"/>
      <w:b/>
      <w:color w:val="365F91" w:themeColor="accent1" w:themeShade="BF"/>
      <w:sz w:val="32"/>
    </w:rPr>
  </w:style>
  <w:style w:type="paragraph" w:styleId="Heading2">
    <w:name w:val="heading 2"/>
    <w:basedOn w:val="ListParagraph"/>
    <w:next w:val="BlockText"/>
    <w:link w:val="Heading2Char"/>
    <w:uiPriority w:val="9"/>
    <w:unhideWhenUsed/>
    <w:qFormat/>
    <w:rsid w:val="003A5CE0"/>
    <w:pPr>
      <w:numPr>
        <w:ilvl w:val="1"/>
        <w:numId w:val="10"/>
      </w:numPr>
      <w:spacing w:before="120"/>
      <w:outlineLvl w:val="1"/>
    </w:pPr>
    <w:rPr>
      <w:rFonts w:ascii="Arial" w:hAnsi="Arial" w:cs="Arial"/>
      <w:sz w:val="20"/>
    </w:rPr>
  </w:style>
  <w:style w:type="paragraph" w:styleId="Heading3">
    <w:name w:val="heading 3"/>
    <w:basedOn w:val="Heading2"/>
    <w:next w:val="Normal"/>
    <w:link w:val="Heading3Char"/>
    <w:uiPriority w:val="9"/>
    <w:unhideWhenUsed/>
    <w:qFormat/>
    <w:rsid w:val="003A5CE0"/>
    <w:pPr>
      <w:numPr>
        <w:ilvl w:val="2"/>
      </w:numPr>
      <w:outlineLvl w:val="2"/>
    </w:pPr>
  </w:style>
  <w:style w:type="paragraph" w:styleId="Heading4">
    <w:name w:val="heading 4"/>
    <w:basedOn w:val="Heading3"/>
    <w:next w:val="Normal"/>
    <w:link w:val="Heading4Char"/>
    <w:uiPriority w:val="9"/>
    <w:unhideWhenUsed/>
    <w:qFormat/>
    <w:rsid w:val="003A5CE0"/>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55F"/>
    <w:rPr>
      <w:rFonts w:asciiTheme="majorHAnsi" w:hAnsiTheme="majorHAnsi" w:cs="Arial"/>
      <w:b/>
      <w:color w:val="365F91" w:themeColor="accent1" w:themeShade="BF"/>
      <w:sz w:val="32"/>
    </w:rPr>
  </w:style>
  <w:style w:type="paragraph" w:customStyle="1" w:styleId="TableParagraph">
    <w:name w:val="Table Paragraph"/>
    <w:basedOn w:val="Normal"/>
    <w:uiPriority w:val="1"/>
    <w:qFormat/>
    <w:rsid w:val="003A5CE0"/>
    <w:pPr>
      <w:widowControl w:val="0"/>
    </w:pPr>
  </w:style>
  <w:style w:type="paragraph" w:customStyle="1" w:styleId="text1">
    <w:name w:val="text 1"/>
    <w:basedOn w:val="Normal"/>
    <w:qFormat/>
    <w:rsid w:val="003A5CE0"/>
    <w:pPr>
      <w:spacing w:before="120" w:after="120" w:line="276" w:lineRule="auto"/>
    </w:pPr>
  </w:style>
  <w:style w:type="paragraph" w:customStyle="1" w:styleId="bullet1">
    <w:name w:val="bullet 1"/>
    <w:basedOn w:val="ListParagraph"/>
    <w:qFormat/>
    <w:rsid w:val="00F35111"/>
    <w:pPr>
      <w:numPr>
        <w:numId w:val="16"/>
      </w:numPr>
      <w:spacing w:after="60"/>
      <w:ind w:left="389"/>
    </w:pPr>
  </w:style>
  <w:style w:type="paragraph" w:styleId="ListParagraph">
    <w:name w:val="List Paragraph"/>
    <w:basedOn w:val="Normal"/>
    <w:uiPriority w:val="34"/>
    <w:qFormat/>
    <w:rsid w:val="003A5CE0"/>
    <w:pPr>
      <w:numPr>
        <w:numId w:val="11"/>
      </w:numPr>
      <w:spacing w:before="60" w:after="120"/>
    </w:pPr>
  </w:style>
  <w:style w:type="paragraph" w:customStyle="1" w:styleId="Default">
    <w:name w:val="Default"/>
    <w:basedOn w:val="Normal"/>
    <w:rsid w:val="003A5CE0"/>
    <w:pPr>
      <w:autoSpaceDE w:val="0"/>
      <w:autoSpaceDN w:val="0"/>
    </w:pPr>
    <w:rPr>
      <w:rFonts w:ascii="Arial" w:hAnsi="Arial" w:cs="Arial"/>
      <w:color w:val="000000"/>
      <w:sz w:val="24"/>
      <w:szCs w:val="24"/>
    </w:rPr>
  </w:style>
  <w:style w:type="paragraph" w:customStyle="1" w:styleId="question">
    <w:name w:val="question"/>
    <w:basedOn w:val="Normal"/>
    <w:qFormat/>
    <w:rsid w:val="003A5CE0"/>
    <w:pPr>
      <w:ind w:left="720"/>
    </w:pPr>
    <w:rPr>
      <w:i/>
      <w:color w:val="FF0000"/>
    </w:rPr>
  </w:style>
  <w:style w:type="paragraph" w:customStyle="1" w:styleId="bullet2">
    <w:name w:val="bullet 2"/>
    <w:basedOn w:val="bullet1"/>
    <w:qFormat/>
    <w:rsid w:val="003A5CE0"/>
    <w:pPr>
      <w:numPr>
        <w:numId w:val="0"/>
      </w:numPr>
      <w:tabs>
        <w:tab w:val="left" w:pos="216"/>
      </w:tabs>
    </w:pPr>
  </w:style>
  <w:style w:type="paragraph" w:customStyle="1" w:styleId="deliverable">
    <w:name w:val="deliverable"/>
    <w:basedOn w:val="ListParagraph"/>
    <w:qFormat/>
    <w:rsid w:val="003A5CE0"/>
    <w:pPr>
      <w:numPr>
        <w:numId w:val="14"/>
      </w:numPr>
      <w:tabs>
        <w:tab w:val="left" w:pos="223"/>
      </w:tabs>
      <w:spacing w:before="0" w:after="40"/>
    </w:pPr>
    <w:rPr>
      <w:i/>
    </w:rPr>
  </w:style>
  <w:style w:type="paragraph" w:customStyle="1" w:styleId="text2">
    <w:name w:val="text 2"/>
    <w:basedOn w:val="text1"/>
    <w:qFormat/>
    <w:rsid w:val="003A5CE0"/>
    <w:pPr>
      <w:ind w:left="547"/>
    </w:pPr>
  </w:style>
  <w:style w:type="paragraph" w:customStyle="1" w:styleId="bullet3">
    <w:name w:val="bullet 3"/>
    <w:basedOn w:val="bullet1"/>
    <w:qFormat/>
    <w:rsid w:val="003A5CE0"/>
    <w:pPr>
      <w:numPr>
        <w:ilvl w:val="1"/>
        <w:numId w:val="15"/>
      </w:numPr>
      <w:tabs>
        <w:tab w:val="left" w:pos="173"/>
      </w:tabs>
      <w:spacing w:after="0"/>
    </w:pPr>
    <w:rPr>
      <w:color w:val="E36C0A" w:themeColor="accent6" w:themeShade="BF"/>
    </w:rPr>
  </w:style>
  <w:style w:type="paragraph" w:customStyle="1" w:styleId="Deliverabletext">
    <w:name w:val="Deliverable text"/>
    <w:basedOn w:val="text2"/>
    <w:qFormat/>
    <w:rsid w:val="003A5CE0"/>
    <w:rPr>
      <w:b/>
    </w:rPr>
  </w:style>
  <w:style w:type="paragraph" w:customStyle="1" w:styleId="text3">
    <w:name w:val="text 3"/>
    <w:basedOn w:val="text1"/>
    <w:qFormat/>
    <w:rsid w:val="003A5CE0"/>
    <w:pPr>
      <w:ind w:left="1260"/>
    </w:pPr>
  </w:style>
  <w:style w:type="paragraph" w:customStyle="1" w:styleId="bullet4">
    <w:name w:val="bullet 4"/>
    <w:basedOn w:val="bullet1"/>
    <w:qFormat/>
    <w:rsid w:val="003A5CE0"/>
    <w:pPr>
      <w:numPr>
        <w:numId w:val="0"/>
      </w:numPr>
      <w:tabs>
        <w:tab w:val="left" w:pos="1440"/>
      </w:tabs>
    </w:pPr>
  </w:style>
  <w:style w:type="paragraph" w:customStyle="1" w:styleId="fromCapAssmt">
    <w:name w:val="from Cap Assmt"/>
    <w:basedOn w:val="Deliverabletext"/>
    <w:qFormat/>
    <w:rsid w:val="003A5CE0"/>
    <w:pPr>
      <w:spacing w:line="240" w:lineRule="auto"/>
    </w:pPr>
    <w:rPr>
      <w:i/>
      <w:color w:val="7030A0"/>
    </w:rPr>
  </w:style>
  <w:style w:type="paragraph" w:customStyle="1" w:styleId="ModelSpecifics">
    <w:name w:val="Model Specifics"/>
    <w:basedOn w:val="question"/>
    <w:qFormat/>
    <w:rsid w:val="003A5CE0"/>
    <w:pPr>
      <w:spacing w:after="120"/>
      <w:ind w:left="1440"/>
    </w:pPr>
    <w:rPr>
      <w:color w:val="E36C0A" w:themeColor="accent6" w:themeShade="BF"/>
    </w:rPr>
  </w:style>
  <w:style w:type="paragraph" w:customStyle="1" w:styleId="Monitoring">
    <w:name w:val="Monitoring"/>
    <w:basedOn w:val="Deliverabletext"/>
    <w:qFormat/>
    <w:rsid w:val="003A5CE0"/>
    <w:rPr>
      <w:color w:val="31849B" w:themeColor="accent5" w:themeShade="BF"/>
    </w:rPr>
  </w:style>
  <w:style w:type="paragraph" w:customStyle="1" w:styleId="monitoring0">
    <w:name w:val="monitoring"/>
    <w:basedOn w:val="deliverable"/>
    <w:qFormat/>
    <w:rsid w:val="003A5CE0"/>
    <w:pPr>
      <w:numPr>
        <w:numId w:val="0"/>
      </w:numPr>
    </w:pPr>
    <w:rPr>
      <w:color w:val="4F6228" w:themeColor="accent3" w:themeShade="80"/>
    </w:rPr>
  </w:style>
  <w:style w:type="character" w:customStyle="1" w:styleId="apple-converted-space">
    <w:name w:val="apple-converted-space"/>
    <w:basedOn w:val="DefaultParagraphFont"/>
    <w:rsid w:val="003A5CE0"/>
  </w:style>
  <w:style w:type="paragraph" w:customStyle="1" w:styleId="tabletext">
    <w:name w:val="table text"/>
    <w:basedOn w:val="text1"/>
    <w:qFormat/>
    <w:rsid w:val="003A5CE0"/>
    <w:pPr>
      <w:spacing w:before="0" w:after="60" w:line="240" w:lineRule="auto"/>
    </w:pPr>
    <w:rPr>
      <w:sz w:val="20"/>
    </w:rPr>
  </w:style>
  <w:style w:type="paragraph" w:customStyle="1" w:styleId="Report">
    <w:name w:val="Report"/>
    <w:basedOn w:val="Normal"/>
    <w:qFormat/>
    <w:rsid w:val="003A5CE0"/>
    <w:pPr>
      <w:spacing w:after="120"/>
    </w:pPr>
  </w:style>
  <w:style w:type="paragraph" w:customStyle="1" w:styleId="duedate">
    <w:name w:val="due date"/>
    <w:basedOn w:val="Report"/>
    <w:qFormat/>
    <w:rsid w:val="003A5CE0"/>
    <w:pPr>
      <w:spacing w:after="0"/>
    </w:pPr>
    <w:rPr>
      <w:i/>
      <w:u w:val="single"/>
    </w:rPr>
  </w:style>
  <w:style w:type="paragraph" w:customStyle="1" w:styleId="Month">
    <w:name w:val="Month"/>
    <w:basedOn w:val="Normal"/>
    <w:qFormat/>
    <w:rsid w:val="003A5CE0"/>
    <w:pPr>
      <w:spacing w:before="240" w:after="120"/>
    </w:pPr>
    <w:rPr>
      <w:b/>
    </w:rPr>
  </w:style>
  <w:style w:type="character" w:customStyle="1" w:styleId="Heading2Char">
    <w:name w:val="Heading 2 Char"/>
    <w:basedOn w:val="DefaultParagraphFont"/>
    <w:link w:val="Heading2"/>
    <w:uiPriority w:val="9"/>
    <w:rsid w:val="003A5CE0"/>
    <w:rPr>
      <w:rFonts w:ascii="Arial" w:hAnsi="Arial" w:cs="Arial"/>
      <w:sz w:val="20"/>
    </w:rPr>
  </w:style>
  <w:style w:type="paragraph" w:styleId="BlockText">
    <w:name w:val="Block Text"/>
    <w:basedOn w:val="Normal"/>
    <w:uiPriority w:val="99"/>
    <w:semiHidden/>
    <w:unhideWhenUsed/>
    <w:rsid w:val="003A5CE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customStyle="1" w:styleId="Heading3Char">
    <w:name w:val="Heading 3 Char"/>
    <w:basedOn w:val="DefaultParagraphFont"/>
    <w:link w:val="Heading3"/>
    <w:uiPriority w:val="9"/>
    <w:rsid w:val="003A5CE0"/>
    <w:rPr>
      <w:rFonts w:ascii="Arial" w:hAnsi="Arial" w:cs="Arial"/>
      <w:sz w:val="20"/>
    </w:rPr>
  </w:style>
  <w:style w:type="character" w:customStyle="1" w:styleId="Heading4Char">
    <w:name w:val="Heading 4 Char"/>
    <w:basedOn w:val="DefaultParagraphFont"/>
    <w:link w:val="Heading4"/>
    <w:uiPriority w:val="9"/>
    <w:rsid w:val="003A5CE0"/>
    <w:rPr>
      <w:rFonts w:ascii="Arial" w:hAnsi="Arial" w:cs="Arial"/>
      <w:sz w:val="20"/>
    </w:rPr>
  </w:style>
  <w:style w:type="paragraph" w:styleId="CommentText">
    <w:name w:val="annotation text"/>
    <w:basedOn w:val="Normal"/>
    <w:link w:val="CommentTextChar"/>
    <w:uiPriority w:val="99"/>
    <w:unhideWhenUsed/>
    <w:rsid w:val="003A5CE0"/>
    <w:rPr>
      <w:sz w:val="20"/>
      <w:szCs w:val="20"/>
    </w:rPr>
  </w:style>
  <w:style w:type="character" w:customStyle="1" w:styleId="CommentTextChar">
    <w:name w:val="Comment Text Char"/>
    <w:basedOn w:val="DefaultParagraphFont"/>
    <w:link w:val="CommentText"/>
    <w:uiPriority w:val="99"/>
    <w:rsid w:val="003A5CE0"/>
    <w:rPr>
      <w:sz w:val="20"/>
      <w:szCs w:val="20"/>
    </w:rPr>
  </w:style>
  <w:style w:type="paragraph" w:styleId="Header">
    <w:name w:val="header"/>
    <w:basedOn w:val="Normal"/>
    <w:link w:val="HeaderChar"/>
    <w:uiPriority w:val="99"/>
    <w:unhideWhenUsed/>
    <w:rsid w:val="003A5CE0"/>
    <w:pPr>
      <w:tabs>
        <w:tab w:val="center" w:pos="4680"/>
        <w:tab w:val="right" w:pos="9360"/>
      </w:tabs>
    </w:pPr>
  </w:style>
  <w:style w:type="character" w:customStyle="1" w:styleId="HeaderChar">
    <w:name w:val="Header Char"/>
    <w:basedOn w:val="DefaultParagraphFont"/>
    <w:link w:val="Header"/>
    <w:uiPriority w:val="99"/>
    <w:rsid w:val="003A5CE0"/>
  </w:style>
  <w:style w:type="paragraph" w:styleId="Footer">
    <w:name w:val="footer"/>
    <w:basedOn w:val="Normal"/>
    <w:link w:val="FooterChar"/>
    <w:uiPriority w:val="99"/>
    <w:unhideWhenUsed/>
    <w:rsid w:val="003A5CE0"/>
    <w:pPr>
      <w:tabs>
        <w:tab w:val="center" w:pos="4680"/>
        <w:tab w:val="right" w:pos="9360"/>
      </w:tabs>
    </w:pPr>
  </w:style>
  <w:style w:type="character" w:customStyle="1" w:styleId="FooterChar">
    <w:name w:val="Footer Char"/>
    <w:basedOn w:val="DefaultParagraphFont"/>
    <w:link w:val="Footer"/>
    <w:uiPriority w:val="99"/>
    <w:rsid w:val="003A5CE0"/>
  </w:style>
  <w:style w:type="character" w:styleId="CommentReference">
    <w:name w:val="annotation reference"/>
    <w:basedOn w:val="DefaultParagraphFont"/>
    <w:uiPriority w:val="99"/>
    <w:semiHidden/>
    <w:unhideWhenUsed/>
    <w:rsid w:val="003A5CE0"/>
    <w:rPr>
      <w:sz w:val="16"/>
      <w:szCs w:val="16"/>
    </w:rPr>
  </w:style>
  <w:style w:type="paragraph" w:styleId="BodyText">
    <w:name w:val="Body Text"/>
    <w:basedOn w:val="Normal"/>
    <w:link w:val="BodyTextChar"/>
    <w:uiPriority w:val="1"/>
    <w:qFormat/>
    <w:rsid w:val="003A5CE0"/>
    <w:pPr>
      <w:widowControl w:val="0"/>
      <w:ind w:left="892" w:hanging="576"/>
    </w:pPr>
    <w:rPr>
      <w:rFonts w:ascii="Calibri" w:eastAsia="Calibri" w:hAnsi="Calibri"/>
    </w:rPr>
  </w:style>
  <w:style w:type="character" w:customStyle="1" w:styleId="BodyTextChar">
    <w:name w:val="Body Text Char"/>
    <w:basedOn w:val="DefaultParagraphFont"/>
    <w:link w:val="BodyText"/>
    <w:uiPriority w:val="1"/>
    <w:rsid w:val="003A5CE0"/>
    <w:rPr>
      <w:rFonts w:ascii="Calibri" w:eastAsia="Calibri" w:hAnsi="Calibri"/>
    </w:rPr>
  </w:style>
  <w:style w:type="character" w:styleId="Hyperlink">
    <w:name w:val="Hyperlink"/>
    <w:basedOn w:val="DefaultParagraphFont"/>
    <w:uiPriority w:val="99"/>
    <w:unhideWhenUsed/>
    <w:rsid w:val="003A5CE0"/>
    <w:rPr>
      <w:color w:val="0000FF" w:themeColor="hyperlink"/>
      <w:u w:val="single"/>
    </w:rPr>
  </w:style>
  <w:style w:type="paragraph" w:styleId="NormalWeb">
    <w:name w:val="Normal (Web)"/>
    <w:basedOn w:val="Normal"/>
    <w:uiPriority w:val="99"/>
    <w:semiHidden/>
    <w:unhideWhenUsed/>
    <w:rsid w:val="003A5CE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5CE0"/>
    <w:rPr>
      <w:b/>
      <w:bCs/>
    </w:rPr>
  </w:style>
  <w:style w:type="character" w:customStyle="1" w:styleId="CommentSubjectChar">
    <w:name w:val="Comment Subject Char"/>
    <w:basedOn w:val="CommentTextChar"/>
    <w:link w:val="CommentSubject"/>
    <w:uiPriority w:val="99"/>
    <w:semiHidden/>
    <w:rsid w:val="003A5CE0"/>
    <w:rPr>
      <w:b/>
      <w:bCs/>
      <w:sz w:val="20"/>
      <w:szCs w:val="20"/>
    </w:rPr>
  </w:style>
  <w:style w:type="paragraph" w:styleId="BalloonText">
    <w:name w:val="Balloon Text"/>
    <w:basedOn w:val="Normal"/>
    <w:link w:val="BalloonTextChar"/>
    <w:uiPriority w:val="99"/>
    <w:semiHidden/>
    <w:unhideWhenUsed/>
    <w:rsid w:val="003A5CE0"/>
    <w:rPr>
      <w:rFonts w:ascii="Tahoma" w:hAnsi="Tahoma" w:cs="Tahoma"/>
      <w:sz w:val="16"/>
      <w:szCs w:val="16"/>
    </w:rPr>
  </w:style>
  <w:style w:type="character" w:customStyle="1" w:styleId="BalloonTextChar">
    <w:name w:val="Balloon Text Char"/>
    <w:basedOn w:val="DefaultParagraphFont"/>
    <w:link w:val="BalloonText"/>
    <w:uiPriority w:val="99"/>
    <w:semiHidden/>
    <w:rsid w:val="003A5CE0"/>
    <w:rPr>
      <w:rFonts w:ascii="Tahoma" w:hAnsi="Tahoma" w:cs="Tahoma"/>
      <w:sz w:val="16"/>
      <w:szCs w:val="16"/>
    </w:rPr>
  </w:style>
  <w:style w:type="table" w:styleId="TableGrid">
    <w:name w:val="Table Grid"/>
    <w:basedOn w:val="TableNormal"/>
    <w:uiPriority w:val="59"/>
    <w:rsid w:val="003A5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CE12-7DC0-45D3-9248-727E35FE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Early Learning</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Toolson, Rene (DEL)</dc:creator>
  <cp:lastModifiedBy>Ingraham, Kyra (DEL)</cp:lastModifiedBy>
  <cp:revision>2</cp:revision>
  <cp:lastPrinted>2017-11-30T18:17:00Z</cp:lastPrinted>
  <dcterms:created xsi:type="dcterms:W3CDTF">2017-12-01T20:43:00Z</dcterms:created>
  <dcterms:modified xsi:type="dcterms:W3CDTF">2017-12-01T20:43:00Z</dcterms:modified>
</cp:coreProperties>
</file>